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DE" w:rsidRPr="0072364E" w:rsidRDefault="00284ADE" w:rsidP="00284ADE">
      <w:pPr>
        <w:pStyle w:val="1"/>
        <w:numPr>
          <w:ilvl w:val="0"/>
          <w:numId w:val="1"/>
        </w:numPr>
        <w:spacing w:before="0"/>
        <w:jc w:val="center"/>
        <w:rPr>
          <w:rFonts w:ascii="Times New Roman" w:eastAsia="Calibri" w:hAnsi="Times New Roman"/>
          <w:bCs w:val="0"/>
          <w:color w:val="auto"/>
          <w:sz w:val="24"/>
          <w:szCs w:val="24"/>
        </w:rPr>
      </w:pPr>
      <w:r w:rsidRPr="0072364E">
        <w:rPr>
          <w:rFonts w:ascii="Times New Roman" w:eastAsia="Calibri" w:hAnsi="Times New Roman"/>
          <w:bCs w:val="0"/>
          <w:color w:val="auto"/>
          <w:sz w:val="24"/>
          <w:szCs w:val="24"/>
        </w:rPr>
        <w:t xml:space="preserve">ПАСПОРТ УСЛУГИ (ПРОЦЕССА) </w:t>
      </w:r>
      <w:r>
        <w:rPr>
          <w:rFonts w:ascii="Times New Roman" w:eastAsia="Calibri" w:hAnsi="Times New Roman"/>
          <w:bCs w:val="0"/>
          <w:color w:val="auto"/>
          <w:sz w:val="24"/>
          <w:szCs w:val="24"/>
        </w:rPr>
        <w:t>МУП «АЭС»</w:t>
      </w:r>
    </w:p>
    <w:p w:rsidR="00284ADE" w:rsidRPr="0072364E" w:rsidRDefault="00284ADE" w:rsidP="00284ADE">
      <w:pPr>
        <w:autoSpaceDE w:val="0"/>
        <w:autoSpaceDN w:val="0"/>
        <w:adjustRightInd w:val="0"/>
        <w:jc w:val="center"/>
        <w:rPr>
          <w:b/>
        </w:rPr>
      </w:pPr>
      <w:r w:rsidRPr="0072364E">
        <w:rPr>
          <w:b/>
        </w:rPr>
        <w:t>ТЕХНОЛОГИЧЕСКОЕ ПРИСОЕДИНЕНИЕ К ЭЛЕКТРИЧЕСКИМ СЕТЯМ</w:t>
      </w:r>
    </w:p>
    <w:p w:rsidR="00284ADE" w:rsidRPr="0072364E" w:rsidRDefault="00284ADE" w:rsidP="00284ADE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72364E">
        <w:rPr>
          <w:b/>
          <w:sz w:val="22"/>
          <w:szCs w:val="22"/>
        </w:rPr>
        <w:t>физические лица, максимальная мощность свыше 15 кВт по 1,2,3 категории надежности, до 15 кВт, за исключением категории лиц, указанных в разделе 1 (п. 14 Правил).</w:t>
      </w:r>
    </w:p>
    <w:p w:rsidR="00284ADE" w:rsidRPr="0072364E" w:rsidRDefault="00284ADE" w:rsidP="00284ADE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284ADE" w:rsidRPr="0072364E" w:rsidRDefault="00284ADE" w:rsidP="00284ADE">
      <w:pPr>
        <w:autoSpaceDE w:val="0"/>
        <w:autoSpaceDN w:val="0"/>
        <w:adjustRightInd w:val="0"/>
        <w:outlineLvl w:val="0"/>
        <w:rPr>
          <w:b/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t>Потребитель</w:t>
      </w:r>
      <w:r w:rsidRPr="0072364E">
        <w:rPr>
          <w:sz w:val="22"/>
          <w:szCs w:val="22"/>
        </w:rPr>
        <w:t xml:space="preserve">: </w:t>
      </w:r>
      <w:r w:rsidRPr="0072364E">
        <w:rPr>
          <w:b/>
          <w:sz w:val="22"/>
          <w:szCs w:val="22"/>
        </w:rPr>
        <w:t>физические лица, максимальная мощность свыше 15 кВт по 1,2,3 категории надежности, до 15 кВт, за исключением категории лиц, указанных в разделе 1 (п. 14 Правил).</w:t>
      </w:r>
    </w:p>
    <w:p w:rsidR="00284ADE" w:rsidRPr="0072364E" w:rsidRDefault="00284ADE" w:rsidP="00284AD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t>Порядок определения стоимости услуг (процесса</w:t>
      </w:r>
      <w:r w:rsidRPr="0072364E">
        <w:rPr>
          <w:sz w:val="22"/>
          <w:szCs w:val="22"/>
        </w:rPr>
        <w:t xml:space="preserve">): </w:t>
      </w:r>
    </w:p>
    <w:p w:rsidR="00284ADE" w:rsidRDefault="00284ADE" w:rsidP="00284AD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Pr="007713F7">
        <w:rPr>
          <w:color w:val="000000"/>
          <w:sz w:val="22"/>
          <w:szCs w:val="22"/>
        </w:rPr>
        <w:t>азмер плат</w:t>
      </w:r>
      <w:r>
        <w:rPr>
          <w:color w:val="000000"/>
          <w:sz w:val="22"/>
          <w:szCs w:val="22"/>
        </w:rPr>
        <w:t xml:space="preserve">ы за </w:t>
      </w:r>
      <w:r w:rsidRPr="007713F7">
        <w:rPr>
          <w:color w:val="000000"/>
          <w:sz w:val="22"/>
          <w:szCs w:val="22"/>
        </w:rPr>
        <w:t>технологическое присоединение рассчитывается исходя из утвержденных на период регулирования уполномоченным органом</w:t>
      </w:r>
      <w:r>
        <w:rPr>
          <w:color w:val="000000"/>
          <w:sz w:val="22"/>
          <w:szCs w:val="22"/>
        </w:rPr>
        <w:t xml:space="preserve"> </w:t>
      </w:r>
      <w:r w:rsidRPr="007713F7">
        <w:rPr>
          <w:color w:val="000000"/>
          <w:sz w:val="22"/>
          <w:szCs w:val="22"/>
        </w:rPr>
        <w:t>исполнительной власти в области государственного регулирования тарифов стандартизированных тарифных ставок.</w:t>
      </w:r>
      <w:r>
        <w:rPr>
          <w:color w:val="000000"/>
          <w:sz w:val="22"/>
          <w:szCs w:val="22"/>
        </w:rPr>
        <w:t xml:space="preserve"> Либо льготным тарифом, если для данной категории заявителей на момент подачи заявки льгота предусмотрена Правилами 861 ПП.</w:t>
      </w:r>
    </w:p>
    <w:p w:rsidR="00284ADE" w:rsidRPr="000B3D13" w:rsidRDefault="00284ADE" w:rsidP="00284AD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0A0763">
        <w:rPr>
          <w:color w:val="000000" w:themeColor="text1"/>
          <w:sz w:val="22"/>
          <w:szCs w:val="22"/>
        </w:rPr>
        <w:t>Льготный размер платы не применяется в случаях:</w:t>
      </w:r>
    </w:p>
    <w:p w:rsidR="00284ADE" w:rsidRPr="00886444" w:rsidRDefault="00284ADE" w:rsidP="00284ADE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color w:val="22272F"/>
          <w:sz w:val="23"/>
          <w:szCs w:val="23"/>
        </w:rPr>
        <w:t xml:space="preserve">- при технологическом присоединении энергопринимающих устройств, принадлежащих лицам, которым права владения и (или) пользования земельным участком (в том числе при его использовании без предоставления на основании разрешения) и (или) объектом капитального строительства (нежилым </w:t>
      </w:r>
      <w:r w:rsidRPr="00886444">
        <w:rPr>
          <w:sz w:val="23"/>
          <w:szCs w:val="23"/>
        </w:rPr>
        <w:t>помещением в объекте капитального строительства) предоставлены на срок не более одного года;</w:t>
      </w:r>
    </w:p>
    <w:p w:rsidR="00284ADE" w:rsidRPr="00886444" w:rsidRDefault="00284ADE" w:rsidP="00284ADE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886444">
        <w:rPr>
          <w:sz w:val="23"/>
          <w:szCs w:val="23"/>
        </w:rPr>
        <w:t xml:space="preserve"> -при технологическом присоединении энергопринимающих устройств, расположенных в жилых помещениях многоквартирных домов;</w:t>
      </w:r>
    </w:p>
    <w:p w:rsidR="00284ADE" w:rsidRDefault="00284ADE" w:rsidP="00284AD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 w:rsidRPr="00886444">
        <w:rPr>
          <w:sz w:val="23"/>
          <w:szCs w:val="23"/>
        </w:rPr>
        <w:t xml:space="preserve"> </w:t>
      </w:r>
      <w:proofErr w:type="gramStart"/>
      <w:r w:rsidRPr="00886444">
        <w:rPr>
          <w:sz w:val="23"/>
          <w:szCs w:val="23"/>
        </w:rPr>
        <w:t>-при технологическом присоединении в границах территории субъекта Российской Федерации энергопринимающих устройств, соответствующих критериям, указанным в </w:t>
      </w:r>
      <w:hyperlink r:id="rId7" w:anchor="/document/187740/entry/4017" w:history="1">
        <w:r w:rsidRPr="00886444">
          <w:rPr>
            <w:rStyle w:val="a7"/>
            <w:sz w:val="23"/>
            <w:szCs w:val="23"/>
          </w:rPr>
          <w:t>абзацах первом</w:t>
        </w:r>
      </w:hyperlink>
      <w:r w:rsidRPr="00886444">
        <w:rPr>
          <w:sz w:val="23"/>
          <w:szCs w:val="23"/>
        </w:rPr>
        <w:t>, </w:t>
      </w:r>
      <w:hyperlink r:id="rId8" w:anchor="/document/187740/entry/40174" w:history="1">
        <w:r w:rsidRPr="00886444">
          <w:rPr>
            <w:rStyle w:val="a7"/>
            <w:sz w:val="23"/>
            <w:szCs w:val="23"/>
          </w:rPr>
          <w:t>четвертом</w:t>
        </w:r>
      </w:hyperlink>
      <w:r w:rsidRPr="00886444">
        <w:rPr>
          <w:sz w:val="23"/>
          <w:szCs w:val="23"/>
        </w:rPr>
        <w:t>, </w:t>
      </w:r>
      <w:hyperlink r:id="rId9" w:anchor="/document/187740/entry/400175" w:history="1">
        <w:r w:rsidRPr="00886444">
          <w:rPr>
            <w:rStyle w:val="a7"/>
            <w:sz w:val="23"/>
            <w:szCs w:val="23"/>
          </w:rPr>
          <w:t>пятом</w:t>
        </w:r>
      </w:hyperlink>
      <w:r w:rsidRPr="00886444">
        <w:rPr>
          <w:sz w:val="23"/>
          <w:szCs w:val="23"/>
        </w:rPr>
        <w:t>, </w:t>
      </w:r>
      <w:hyperlink r:id="rId10" w:anchor="/document/187740/entry/401720" w:history="1">
        <w:r w:rsidRPr="00886444">
          <w:rPr>
            <w:rStyle w:val="a7"/>
            <w:sz w:val="23"/>
            <w:szCs w:val="23"/>
          </w:rPr>
          <w:t>двадцатом</w:t>
        </w:r>
      </w:hyperlink>
      <w:r w:rsidRPr="00886444">
        <w:rPr>
          <w:sz w:val="23"/>
          <w:szCs w:val="23"/>
        </w:rPr>
        <w:t> и </w:t>
      </w:r>
      <w:hyperlink r:id="rId11" w:anchor="/document/187740/entry/401726" w:history="1">
        <w:r w:rsidRPr="00886444">
          <w:rPr>
            <w:rStyle w:val="a7"/>
            <w:sz w:val="23"/>
            <w:szCs w:val="23"/>
          </w:rPr>
          <w:t>двадцать шестом</w:t>
        </w:r>
      </w:hyperlink>
      <w:r w:rsidRPr="00886444">
        <w:rPr>
          <w:sz w:val="23"/>
          <w:szCs w:val="23"/>
        </w:rPr>
        <w:t xml:space="preserve"> 17 </w:t>
      </w:r>
      <w:r>
        <w:rPr>
          <w:color w:val="22272F"/>
          <w:sz w:val="23"/>
          <w:szCs w:val="23"/>
        </w:rPr>
        <w:t xml:space="preserve">пункта Правил ТП, если лицом, обратившимся с заявкой, ранее уже была подана заявка, которая не была аннулирована в соответствии с настоящими Правилами, или заключен договор в целях технологического присоединения энергопринимающих устройств (объектов </w:t>
      </w:r>
      <w:proofErr w:type="spellStart"/>
      <w:r>
        <w:rPr>
          <w:color w:val="22272F"/>
          <w:sz w:val="23"/>
          <w:szCs w:val="23"/>
        </w:rPr>
        <w:t>микрогенерации</w:t>
      </w:r>
      <w:proofErr w:type="spellEnd"/>
      <w:r>
        <w:rPr>
          <w:color w:val="22272F"/>
          <w:sz w:val="23"/>
          <w:szCs w:val="23"/>
        </w:rPr>
        <w:t>), соответствующих указанным критериям</w:t>
      </w:r>
      <w:proofErr w:type="gramEnd"/>
      <w:r>
        <w:rPr>
          <w:color w:val="22272F"/>
          <w:sz w:val="23"/>
          <w:szCs w:val="23"/>
        </w:rPr>
        <w:t xml:space="preserve">, </w:t>
      </w:r>
      <w:proofErr w:type="gramStart"/>
      <w:r>
        <w:rPr>
          <w:color w:val="22272F"/>
          <w:sz w:val="23"/>
          <w:szCs w:val="23"/>
        </w:rPr>
        <w:t>расположенных (предполагаемых к расположению в соответствии с поданной заявкой) в границах территории того же субъекта Российской Федерации, при условии, что со дня заключения такого договора не истекло 3 года;</w:t>
      </w:r>
      <w:proofErr w:type="gramEnd"/>
    </w:p>
    <w:p w:rsidR="00284ADE" w:rsidRDefault="00284ADE" w:rsidP="00284ADE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0B3D13">
        <w:rPr>
          <w:sz w:val="22"/>
          <w:szCs w:val="22"/>
        </w:rPr>
        <w:t>В случае отсутствия указанных критериев</w:t>
      </w:r>
      <w:r>
        <w:rPr>
          <w:sz w:val="22"/>
          <w:szCs w:val="22"/>
        </w:rPr>
        <w:t>,</w:t>
      </w:r>
      <w:r w:rsidRPr="000B3D13">
        <w:rPr>
          <w:sz w:val="22"/>
          <w:szCs w:val="22"/>
        </w:rPr>
        <w:t xml:space="preserve"> размер платы за технологическое присоединение рассчитывается в соответствии со ставками</w:t>
      </w:r>
      <w:r w:rsidRPr="0072364E">
        <w:rPr>
          <w:sz w:val="22"/>
          <w:szCs w:val="22"/>
        </w:rPr>
        <w:t xml:space="preserve"> платы утвержденными уполномоченным органом исполнительной власти в области государственного регулирования</w:t>
      </w:r>
      <w:r>
        <w:rPr>
          <w:sz w:val="22"/>
          <w:szCs w:val="22"/>
        </w:rPr>
        <w:t>.</w:t>
      </w:r>
      <w:r w:rsidRPr="0072364E">
        <w:rPr>
          <w:sz w:val="22"/>
          <w:szCs w:val="22"/>
        </w:rPr>
        <w:t xml:space="preserve"> </w:t>
      </w:r>
    </w:p>
    <w:p w:rsidR="00284ADE" w:rsidRPr="0072364E" w:rsidRDefault="00284ADE" w:rsidP="00284AD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t>Условия оказания услуг (процесса):</w:t>
      </w:r>
      <w:r w:rsidRPr="0072364E">
        <w:rPr>
          <w:sz w:val="22"/>
          <w:szCs w:val="22"/>
        </w:rPr>
        <w:t xml:space="preserve"> </w:t>
      </w:r>
    </w:p>
    <w:p w:rsidR="00284ADE" w:rsidRPr="0072364E" w:rsidRDefault="00284ADE" w:rsidP="00284ADE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72364E">
        <w:rPr>
          <w:sz w:val="22"/>
          <w:szCs w:val="22"/>
        </w:rPr>
        <w:t>заявка на осуществление технологического присоединения в отношении впервые вводимых в эксплуатацию, ранее присоединенных энергопринимающих устройств,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  <w:proofErr w:type="gramEnd"/>
    </w:p>
    <w:p w:rsidR="00284ADE" w:rsidRPr="0072364E" w:rsidRDefault="00284ADE" w:rsidP="00284ADE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72364E">
        <w:rPr>
          <w:sz w:val="22"/>
          <w:szCs w:val="22"/>
        </w:rPr>
        <w:t xml:space="preserve">Заявка на  осуществление технологического присоединения </w:t>
      </w:r>
      <w:r w:rsidRPr="0072364E">
        <w:rPr>
          <w:sz w:val="22"/>
          <w:szCs w:val="22"/>
          <w:shd w:val="clear" w:color="auto" w:fill="FFFFFF"/>
        </w:rPr>
        <w:t xml:space="preserve">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 </w:t>
      </w:r>
      <w:proofErr w:type="gramStart"/>
      <w:r w:rsidRPr="0072364E">
        <w:rPr>
          <w:sz w:val="22"/>
          <w:szCs w:val="22"/>
          <w:shd w:val="clear" w:color="auto" w:fill="FFFFFF"/>
        </w:rPr>
        <w:t>В случае технологического присоединения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или иным правообладателям объектов недвижимости, расположенных в границах территории садоводства или огородничества,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особенностей, установленных в зависимости от</w:t>
      </w:r>
      <w:proofErr w:type="gramEnd"/>
      <w:r w:rsidRPr="0072364E">
        <w:rPr>
          <w:sz w:val="22"/>
          <w:szCs w:val="22"/>
          <w:shd w:val="clear" w:color="auto" w:fill="FFFFFF"/>
        </w:rPr>
        <w:t xml:space="preserve"> мощности присоединяемых устройств.</w:t>
      </w:r>
    </w:p>
    <w:p w:rsidR="00284ADE" w:rsidRPr="0072364E" w:rsidRDefault="00284ADE" w:rsidP="00284ADE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72364E">
        <w:rPr>
          <w:sz w:val="22"/>
          <w:szCs w:val="22"/>
        </w:rPr>
        <w:t xml:space="preserve">Заявка на  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</w:t>
      </w:r>
      <w:proofErr w:type="spellStart"/>
      <w:r w:rsidRPr="0072364E">
        <w:rPr>
          <w:sz w:val="22"/>
          <w:szCs w:val="22"/>
        </w:rPr>
        <w:t>электросетевого</w:t>
      </w:r>
      <w:proofErr w:type="spellEnd"/>
      <w:r w:rsidRPr="0072364E">
        <w:rPr>
          <w:sz w:val="22"/>
          <w:szCs w:val="22"/>
        </w:rPr>
        <w:t xml:space="preserve"> </w:t>
      </w:r>
      <w:r w:rsidRPr="0072364E">
        <w:rPr>
          <w:sz w:val="22"/>
          <w:szCs w:val="22"/>
        </w:rPr>
        <w:lastRenderedPageBreak/>
        <w:t>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  <w:proofErr w:type="gramEnd"/>
    </w:p>
    <w:p w:rsidR="00284ADE" w:rsidRPr="0072364E" w:rsidRDefault="00284ADE" w:rsidP="00284ADE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72364E">
        <w:rPr>
          <w:sz w:val="22"/>
          <w:szCs w:val="22"/>
          <w:shd w:val="clear" w:color="auto" w:fill="FFFFFF"/>
        </w:rPr>
        <w:t xml:space="preserve">Заявка </w:t>
      </w:r>
      <w:r w:rsidRPr="0072364E">
        <w:rPr>
          <w:sz w:val="22"/>
          <w:szCs w:val="22"/>
        </w:rPr>
        <w:t>на осуществление технологического присоединения энергопринимающих устройств</w:t>
      </w:r>
      <w:r w:rsidRPr="0072364E">
        <w:rPr>
          <w:sz w:val="22"/>
          <w:szCs w:val="22"/>
          <w:shd w:val="clear" w:color="auto" w:fill="FFFFFF"/>
        </w:rPr>
        <w:t xml:space="preserve">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в сетевую организацию, к объектам </w:t>
      </w:r>
      <w:proofErr w:type="spellStart"/>
      <w:r w:rsidRPr="0072364E">
        <w:rPr>
          <w:sz w:val="22"/>
          <w:szCs w:val="22"/>
          <w:shd w:val="clear" w:color="auto" w:fill="FFFFFF"/>
        </w:rPr>
        <w:t>электросетевого</w:t>
      </w:r>
      <w:proofErr w:type="spellEnd"/>
      <w:r w:rsidRPr="0072364E">
        <w:rPr>
          <w:sz w:val="22"/>
          <w:szCs w:val="22"/>
          <w:shd w:val="clear" w:color="auto" w:fill="FFFFFF"/>
        </w:rPr>
        <w:t xml:space="preserve">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</w:t>
      </w:r>
      <w:proofErr w:type="gramEnd"/>
      <w:r w:rsidRPr="0072364E">
        <w:rPr>
          <w:sz w:val="22"/>
          <w:szCs w:val="22"/>
          <w:shd w:val="clear" w:color="auto" w:fill="FFFFFF"/>
        </w:rPr>
        <w:t xml:space="preserve"> помещений, в том числе в многоквартирном доме, а при непосредственном управлении многоквартирным домом - одним из собственников помещений в таком доме или иным лицом, имеющим соответствующие полномочия, удостоверенные доверенностью, выданной в письменной форме ему всеми или большинством собственников помещений в таком доме, в соответствии с границей балансовой принадлежности.</w:t>
      </w:r>
    </w:p>
    <w:p w:rsidR="00284ADE" w:rsidRPr="0072364E" w:rsidRDefault="00284ADE" w:rsidP="00284AD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t xml:space="preserve">Результат оказания услуги (процесса):  </w:t>
      </w:r>
      <w:r w:rsidRPr="0072364E">
        <w:rPr>
          <w:sz w:val="22"/>
          <w:szCs w:val="22"/>
        </w:rPr>
        <w:t xml:space="preserve">технологическое присоединения энергопринимающих устройств Заявителя к сетям </w:t>
      </w:r>
      <w:r>
        <w:rPr>
          <w:sz w:val="22"/>
          <w:szCs w:val="22"/>
        </w:rPr>
        <w:t>МУП «АЭС»</w:t>
      </w:r>
      <w:r w:rsidRPr="0072364E">
        <w:rPr>
          <w:sz w:val="22"/>
          <w:szCs w:val="22"/>
        </w:rPr>
        <w:t>.</w:t>
      </w:r>
    </w:p>
    <w:p w:rsidR="00284ADE" w:rsidRPr="0053294E" w:rsidRDefault="00284ADE" w:rsidP="00284ADE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53294E">
        <w:rPr>
          <w:i/>
          <w:sz w:val="22"/>
          <w:szCs w:val="22"/>
          <w:u w:val="single"/>
        </w:rPr>
        <w:t>Общий срок оказания услуги (процесса)</w:t>
      </w:r>
      <w:r w:rsidRPr="0053294E">
        <w:rPr>
          <w:sz w:val="22"/>
          <w:szCs w:val="22"/>
        </w:rPr>
        <w:t>:</w:t>
      </w:r>
    </w:p>
    <w:p w:rsidR="00284ADE" w:rsidRPr="0053294E" w:rsidRDefault="00284ADE" w:rsidP="00284AD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proofErr w:type="gramStart"/>
      <w:r w:rsidRPr="0053294E">
        <w:rPr>
          <w:sz w:val="22"/>
          <w:szCs w:val="22"/>
        </w:rPr>
        <w:t xml:space="preserve">В случаях осуществления технологического присоединения к электрическим сетям классом напряжения до 20 кВ включительно,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53294E">
        <w:rPr>
          <w:sz w:val="22"/>
          <w:szCs w:val="22"/>
        </w:rPr>
        <w:t>энергопринимающие</w:t>
      </w:r>
      <w:proofErr w:type="spellEnd"/>
      <w:r w:rsidRPr="0053294E">
        <w:rPr>
          <w:sz w:val="22"/>
          <w:szCs w:val="22"/>
        </w:rPr>
        <w:t xml:space="preserve"> устройства, составляет не более 300 метров в городах и поселках городского типа и не более 500 метров в сельской местности и не требуется выполнение работ по строительству (реконструкции) объектов </w:t>
      </w:r>
      <w:proofErr w:type="spellStart"/>
      <w:r w:rsidRPr="0053294E">
        <w:rPr>
          <w:sz w:val="22"/>
          <w:szCs w:val="22"/>
        </w:rPr>
        <w:t>электросетевого</w:t>
      </w:r>
      <w:proofErr w:type="spellEnd"/>
      <w:proofErr w:type="gramEnd"/>
      <w:r w:rsidRPr="0053294E">
        <w:rPr>
          <w:sz w:val="22"/>
          <w:szCs w:val="22"/>
        </w:rPr>
        <w:t xml:space="preserve"> хозяйства, включенных (подлежащих включению) в инвестиционную программу </w:t>
      </w:r>
      <w:r>
        <w:rPr>
          <w:sz w:val="22"/>
          <w:szCs w:val="22"/>
        </w:rPr>
        <w:t>МУП «АЭС»</w:t>
      </w:r>
      <w:r w:rsidRPr="0053294E">
        <w:rPr>
          <w:sz w:val="22"/>
          <w:szCs w:val="22"/>
        </w:rPr>
        <w:t xml:space="preserve">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 w:rsidRPr="0053294E">
        <w:rPr>
          <w:sz w:val="22"/>
          <w:szCs w:val="22"/>
        </w:rPr>
        <w:t>электросетевого</w:t>
      </w:r>
      <w:proofErr w:type="spellEnd"/>
      <w:r w:rsidRPr="0053294E">
        <w:rPr>
          <w:sz w:val="22"/>
          <w:szCs w:val="22"/>
        </w:rPr>
        <w:t xml:space="preserve"> хозяйства от существующих объектов </w:t>
      </w:r>
      <w:proofErr w:type="spellStart"/>
      <w:r w:rsidRPr="0053294E">
        <w:rPr>
          <w:sz w:val="22"/>
          <w:szCs w:val="22"/>
        </w:rPr>
        <w:t>электросетевого</w:t>
      </w:r>
      <w:proofErr w:type="spellEnd"/>
      <w:r w:rsidRPr="0053294E">
        <w:rPr>
          <w:sz w:val="22"/>
          <w:szCs w:val="22"/>
        </w:rPr>
        <w:t xml:space="preserve"> хозяйства до присоединяемых энергопринимающих устройств и (или) объектов электроэнергетики, при </w:t>
      </w:r>
      <w:proofErr w:type="gramStart"/>
      <w:r w:rsidRPr="0053294E">
        <w:rPr>
          <w:sz w:val="22"/>
          <w:szCs w:val="22"/>
        </w:rPr>
        <w:t>этом</w:t>
      </w:r>
      <w:proofErr w:type="gramEnd"/>
      <w:r w:rsidRPr="0053294E">
        <w:rPr>
          <w:sz w:val="22"/>
          <w:szCs w:val="22"/>
        </w:rPr>
        <w:t xml:space="preserve"> если максимальная мощность до 670 кВт - 4 месяца с даты заключения договора, если свыше 670 кВт – 1 год;</w:t>
      </w:r>
    </w:p>
    <w:p w:rsidR="00284ADE" w:rsidRPr="0053294E" w:rsidRDefault="00284ADE" w:rsidP="00284ADE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53294E">
        <w:rPr>
          <w:sz w:val="22"/>
          <w:szCs w:val="22"/>
        </w:rPr>
        <w:t xml:space="preserve">При несоблюдении всех вышеуказанных условий и максимальная мощность составляет до 670 кВт - 1 год </w:t>
      </w:r>
      <w:proofErr w:type="gramStart"/>
      <w:r w:rsidRPr="0053294E">
        <w:rPr>
          <w:sz w:val="22"/>
          <w:szCs w:val="22"/>
        </w:rPr>
        <w:t>с даты заключения</w:t>
      </w:r>
      <w:proofErr w:type="gramEnd"/>
      <w:r w:rsidRPr="0053294E">
        <w:rPr>
          <w:sz w:val="22"/>
          <w:szCs w:val="22"/>
        </w:rPr>
        <w:t xml:space="preserve"> договора.</w:t>
      </w:r>
    </w:p>
    <w:p w:rsidR="00284ADE" w:rsidRPr="0053294E" w:rsidRDefault="00284ADE" w:rsidP="00284ADE">
      <w:pPr>
        <w:autoSpaceDE w:val="0"/>
        <w:autoSpaceDN w:val="0"/>
        <w:adjustRightInd w:val="0"/>
        <w:outlineLvl w:val="0"/>
        <w:rPr>
          <w:sz w:val="22"/>
          <w:szCs w:val="22"/>
        </w:rPr>
      </w:pPr>
      <w:proofErr w:type="gramStart"/>
      <w:r w:rsidRPr="0053294E">
        <w:rPr>
          <w:sz w:val="22"/>
          <w:szCs w:val="22"/>
        </w:rPr>
        <w:t xml:space="preserve">2 года - для заявителей, максимальная мощность энергопринимающих устройств которых составляет не менее 670 кВт, в том числе при технологическом присоединении к объектам </w:t>
      </w:r>
      <w:proofErr w:type="spellStart"/>
      <w:r w:rsidRPr="0053294E">
        <w:rPr>
          <w:sz w:val="22"/>
          <w:szCs w:val="22"/>
        </w:rPr>
        <w:t>электросетевого</w:t>
      </w:r>
      <w:proofErr w:type="spellEnd"/>
      <w:r w:rsidRPr="0053294E">
        <w:rPr>
          <w:sz w:val="22"/>
          <w:szCs w:val="22"/>
        </w:rPr>
        <w:t xml:space="preserve"> хозяйства организации по управлению единой национальной (общероссийской) электрической сетью,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(реконструкции) объектов </w:t>
      </w:r>
      <w:proofErr w:type="spellStart"/>
      <w:r w:rsidRPr="0053294E">
        <w:rPr>
          <w:sz w:val="22"/>
          <w:szCs w:val="22"/>
        </w:rPr>
        <w:t>электросетевого</w:t>
      </w:r>
      <w:proofErr w:type="spellEnd"/>
      <w:r w:rsidRPr="0053294E">
        <w:rPr>
          <w:sz w:val="22"/>
          <w:szCs w:val="22"/>
        </w:rPr>
        <w:t xml:space="preserve"> хозяйства, включенных (подлежащих включению) в инвестиционные программы смежных сетевых</w:t>
      </w:r>
      <w:proofErr w:type="gramEnd"/>
      <w:r w:rsidRPr="0053294E">
        <w:rPr>
          <w:sz w:val="22"/>
          <w:szCs w:val="22"/>
        </w:rPr>
        <w:t xml:space="preserve"> организаций, и (или) объектов по производству электрической энергии.</w:t>
      </w:r>
    </w:p>
    <w:p w:rsidR="00284ADE" w:rsidRPr="0072364E" w:rsidRDefault="00284ADE" w:rsidP="00284ADE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53294E">
        <w:rPr>
          <w:sz w:val="22"/>
          <w:szCs w:val="22"/>
        </w:rPr>
        <w:t>Для заявителей, максимальная мощность энергопринимающих устройств которых составляет не менее 670 кВт, по инициативе (обращению) заявителя договором могут быть установлены иные сроки (но не более 4 лет);</w:t>
      </w:r>
    </w:p>
    <w:p w:rsidR="00284ADE" w:rsidRPr="0072364E" w:rsidRDefault="00284ADE" w:rsidP="00284ADE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72364E">
        <w:rPr>
          <w:sz w:val="22"/>
          <w:szCs w:val="22"/>
        </w:rPr>
        <w:t>Порядок оказания услуг (процесса):</w:t>
      </w:r>
    </w:p>
    <w:p w:rsidR="00284ADE" w:rsidRPr="0072364E" w:rsidRDefault="00284ADE" w:rsidP="00284ADE">
      <w:pPr>
        <w:rPr>
          <w:sz w:val="22"/>
          <w:szCs w:val="22"/>
        </w:rPr>
      </w:pPr>
    </w:p>
    <w:tbl>
      <w:tblPr>
        <w:tblW w:w="4927" w:type="pc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487"/>
        <w:gridCol w:w="2258"/>
        <w:gridCol w:w="2171"/>
        <w:gridCol w:w="2891"/>
        <w:gridCol w:w="2305"/>
        <w:gridCol w:w="1798"/>
        <w:gridCol w:w="2660"/>
      </w:tblGrid>
      <w:tr w:rsidR="00284ADE" w:rsidRPr="0072364E" w:rsidTr="00D169E2">
        <w:trPr>
          <w:tblHeader/>
        </w:trPr>
        <w:tc>
          <w:tcPr>
            <w:tcW w:w="167" w:type="pct"/>
            <w:shd w:val="clear" w:color="auto" w:fill="95B3D7" w:themeFill="accent1" w:themeFillTint="99"/>
          </w:tcPr>
          <w:p w:rsidR="00284ADE" w:rsidRPr="0072364E" w:rsidRDefault="00284ADE" w:rsidP="00D169E2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75" w:type="pct"/>
            <w:shd w:val="clear" w:color="auto" w:fill="95B3D7" w:themeFill="accent1" w:themeFillTint="99"/>
          </w:tcPr>
          <w:p w:rsidR="00284ADE" w:rsidRPr="0072364E" w:rsidRDefault="00284ADE" w:rsidP="00D169E2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745" w:type="pct"/>
            <w:shd w:val="clear" w:color="auto" w:fill="95B3D7" w:themeFill="accent1" w:themeFillTint="99"/>
          </w:tcPr>
          <w:p w:rsidR="00284ADE" w:rsidRPr="0072364E" w:rsidRDefault="00284ADE" w:rsidP="00D169E2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992" w:type="pct"/>
            <w:shd w:val="clear" w:color="auto" w:fill="95B3D7" w:themeFill="accent1" w:themeFillTint="99"/>
          </w:tcPr>
          <w:p w:rsidR="00284ADE" w:rsidRPr="0072364E" w:rsidRDefault="00284ADE" w:rsidP="00D169E2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91" w:type="pct"/>
            <w:shd w:val="clear" w:color="auto" w:fill="95B3D7" w:themeFill="accent1" w:themeFillTint="99"/>
          </w:tcPr>
          <w:p w:rsidR="00284ADE" w:rsidRPr="0072364E" w:rsidRDefault="00284ADE" w:rsidP="00D169E2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617" w:type="pct"/>
            <w:shd w:val="clear" w:color="auto" w:fill="95B3D7" w:themeFill="accent1" w:themeFillTint="99"/>
          </w:tcPr>
          <w:p w:rsidR="00284ADE" w:rsidRPr="0072364E" w:rsidRDefault="00284ADE" w:rsidP="00D169E2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913" w:type="pct"/>
            <w:shd w:val="clear" w:color="auto" w:fill="95B3D7" w:themeFill="accent1" w:themeFillTint="99"/>
          </w:tcPr>
          <w:p w:rsidR="00284ADE" w:rsidRPr="004E3090" w:rsidRDefault="00284ADE" w:rsidP="00D169E2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E3090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284ADE" w:rsidRPr="0072364E" w:rsidTr="00D169E2">
        <w:tc>
          <w:tcPr>
            <w:tcW w:w="167" w:type="pct"/>
            <w:shd w:val="clear" w:color="auto" w:fill="auto"/>
          </w:tcPr>
          <w:p w:rsidR="00284ADE" w:rsidRPr="0072364E" w:rsidRDefault="00284ADE" w:rsidP="00D169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5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>Подача заявки на технологическое присоединение</w:t>
            </w:r>
          </w:p>
        </w:tc>
        <w:tc>
          <w:tcPr>
            <w:tcW w:w="745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1.1.</w:t>
            </w:r>
            <w:r w:rsidRPr="0072364E">
              <w:rPr>
                <w:sz w:val="22"/>
                <w:szCs w:val="22"/>
              </w:rPr>
              <w:t xml:space="preserve"> Заявитель подает заявку на технологическое присоединение</w:t>
            </w: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auto"/>
          </w:tcPr>
          <w:p w:rsidR="00284ADE" w:rsidRPr="00CF1684" w:rsidRDefault="00284ADE" w:rsidP="00D169E2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CF1684">
              <w:rPr>
                <w:sz w:val="22"/>
                <w:szCs w:val="22"/>
              </w:rPr>
              <w:t>Очное обращение заявителя с заявкой в офис обслуживания потребителей,</w:t>
            </w:r>
          </w:p>
          <w:p w:rsidR="00284ADE" w:rsidRPr="00CF1684" w:rsidRDefault="00284ADE" w:rsidP="00D169E2">
            <w:pPr>
              <w:pStyle w:val="a6"/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CF1684">
              <w:rPr>
                <w:sz w:val="22"/>
                <w:szCs w:val="22"/>
              </w:rPr>
              <w:t xml:space="preserve">письменное обращение с заявкой заказным письмом с </w:t>
            </w:r>
            <w:r w:rsidRPr="00CF1684">
              <w:rPr>
                <w:sz w:val="22"/>
                <w:szCs w:val="22"/>
              </w:rPr>
              <w:lastRenderedPageBreak/>
              <w:t>уведомлением,</w:t>
            </w: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  <w:r w:rsidRPr="00CF1684">
              <w:rPr>
                <w:sz w:val="22"/>
                <w:szCs w:val="22"/>
              </w:rPr>
              <w:t>заявка по электронной форме на сайте сетевой организации.</w:t>
            </w:r>
          </w:p>
        </w:tc>
        <w:tc>
          <w:tcPr>
            <w:tcW w:w="617" w:type="pct"/>
            <w:shd w:val="clear" w:color="auto" w:fill="auto"/>
          </w:tcPr>
          <w:p w:rsidR="00284ADE" w:rsidRPr="0072364E" w:rsidRDefault="00284ADE" w:rsidP="00D169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lastRenderedPageBreak/>
              <w:t>Не ограничен</w:t>
            </w:r>
          </w:p>
        </w:tc>
        <w:tc>
          <w:tcPr>
            <w:tcW w:w="913" w:type="pct"/>
            <w:shd w:val="clear" w:color="auto" w:fill="auto"/>
          </w:tcPr>
          <w:p w:rsidR="00284ADE" w:rsidRPr="004E3090" w:rsidRDefault="00284ADE" w:rsidP="00D169E2">
            <w:pPr>
              <w:spacing w:after="200" w:line="276" w:lineRule="auto"/>
              <w:rPr>
                <w:sz w:val="22"/>
                <w:szCs w:val="22"/>
              </w:rPr>
            </w:pPr>
            <w:r w:rsidRPr="004E3090">
              <w:rPr>
                <w:rFonts w:eastAsia="Calibri"/>
                <w:sz w:val="22"/>
                <w:szCs w:val="22"/>
                <w:lang w:eastAsia="en-US"/>
              </w:rPr>
              <w:t xml:space="preserve">Пункты  8, 9, 10 Правил технологического присоединения энергопринимающих устройств потребителей </w:t>
            </w:r>
            <w:r w:rsidRPr="004E3090">
              <w:rPr>
                <w:rFonts w:eastAsia="Calibri"/>
                <w:sz w:val="22"/>
                <w:szCs w:val="22"/>
                <w:lang w:eastAsia="en-US"/>
              </w:rPr>
              <w:lastRenderedPageBreak/>
              <w:t>электрической энергии</w:t>
            </w:r>
            <w:r w:rsidRPr="004E3090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4E309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284ADE" w:rsidRPr="0072364E" w:rsidTr="00D169E2">
        <w:trPr>
          <w:trHeight w:val="86"/>
        </w:trPr>
        <w:tc>
          <w:tcPr>
            <w:tcW w:w="167" w:type="pct"/>
            <w:shd w:val="clear" w:color="auto" w:fill="auto"/>
          </w:tcPr>
          <w:p w:rsidR="00284ADE" w:rsidRPr="0072364E" w:rsidRDefault="00284ADE" w:rsidP="00D169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745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92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1.2</w:t>
            </w:r>
            <w:r w:rsidRPr="0072364E">
              <w:rPr>
                <w:sz w:val="22"/>
                <w:szCs w:val="22"/>
              </w:rPr>
              <w:t>. Сетевая организация направляет уведомление заявителю о необходимости предоставления недостающих сведений и/или документов к заявке</w:t>
            </w:r>
          </w:p>
        </w:tc>
        <w:tc>
          <w:tcPr>
            <w:tcW w:w="791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>Уведомление в письменной/электронной форме направляется способом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72364E">
              <w:rPr>
                <w:sz w:val="22"/>
                <w:szCs w:val="22"/>
              </w:rPr>
              <w:t xml:space="preserve"> под по</w:t>
            </w:r>
            <w:r>
              <w:rPr>
                <w:sz w:val="22"/>
                <w:szCs w:val="22"/>
              </w:rPr>
              <w:t>дпи</w:t>
            </w:r>
            <w:r w:rsidRPr="0072364E">
              <w:rPr>
                <w:sz w:val="22"/>
                <w:szCs w:val="22"/>
              </w:rPr>
              <w:t>сь</w:t>
            </w:r>
          </w:p>
        </w:tc>
        <w:tc>
          <w:tcPr>
            <w:tcW w:w="617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sz w:val="22"/>
                <w:szCs w:val="22"/>
              </w:rPr>
              <w:t>3 рабочих дня после получения заявки</w:t>
            </w:r>
          </w:p>
        </w:tc>
        <w:tc>
          <w:tcPr>
            <w:tcW w:w="913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sz w:val="22"/>
                <w:szCs w:val="22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84ADE" w:rsidRPr="0072364E" w:rsidTr="00D169E2">
        <w:trPr>
          <w:trHeight w:val="86"/>
        </w:trPr>
        <w:tc>
          <w:tcPr>
            <w:tcW w:w="167" w:type="pct"/>
            <w:vMerge w:val="restart"/>
            <w:shd w:val="clear" w:color="auto" w:fill="auto"/>
          </w:tcPr>
          <w:p w:rsidR="00284ADE" w:rsidRPr="0072364E" w:rsidRDefault="00284ADE" w:rsidP="00D169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 xml:space="preserve">Заявка на ТП и приложенные документы соответствуют Правилам ТП. </w:t>
            </w:r>
          </w:p>
        </w:tc>
        <w:tc>
          <w:tcPr>
            <w:tcW w:w="992" w:type="pct"/>
            <w:shd w:val="clear" w:color="auto" w:fill="auto"/>
          </w:tcPr>
          <w:p w:rsidR="00284ADE" w:rsidRPr="004D26A0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4D26A0">
              <w:rPr>
                <w:b/>
                <w:bCs/>
                <w:sz w:val="22"/>
                <w:szCs w:val="22"/>
              </w:rPr>
              <w:t>2.1</w:t>
            </w:r>
            <w:r w:rsidRPr="004D26A0">
              <w:rPr>
                <w:sz w:val="22"/>
                <w:szCs w:val="22"/>
              </w:rPr>
              <w:t xml:space="preserve">. Направление почтой (выдача при очном посещении офиса обслуживания) </w:t>
            </w:r>
            <w:r>
              <w:rPr>
                <w:sz w:val="22"/>
                <w:szCs w:val="22"/>
              </w:rPr>
              <w:t>МУП «АЭС»</w:t>
            </w:r>
            <w:r w:rsidRPr="004D26A0">
              <w:rPr>
                <w:sz w:val="22"/>
                <w:szCs w:val="22"/>
              </w:rPr>
              <w:t xml:space="preserve">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1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 xml:space="preserve">Письменная форма проекта договора, подписанного со стороны </w:t>
            </w:r>
            <w:r>
              <w:rPr>
                <w:sz w:val="22"/>
                <w:szCs w:val="22"/>
              </w:rPr>
              <w:t>МУП «АЭС»</w:t>
            </w:r>
            <w:r w:rsidRPr="0072364E">
              <w:rPr>
                <w:sz w:val="22"/>
                <w:szCs w:val="22"/>
              </w:rPr>
              <w:t>, направляется способом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, позволяющим подтвердить факт получения, или выдача заявителю в офисе обслуживания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потребителей  (под подпись в получении)</w:t>
            </w:r>
          </w:p>
        </w:tc>
        <w:tc>
          <w:tcPr>
            <w:tcW w:w="617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lastRenderedPageBreak/>
              <w:t>20 рабочих дней со дня  получения заявки, соответствующей  Правилам ТП или со дня</w:t>
            </w: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 xml:space="preserve">получения недостающих сведений (документов), </w:t>
            </w:r>
            <w:r w:rsidRPr="0072364E">
              <w:rPr>
                <w:sz w:val="22"/>
                <w:szCs w:val="22"/>
              </w:rPr>
              <w:lastRenderedPageBreak/>
              <w:t>по направленной заявке</w:t>
            </w:r>
          </w:p>
        </w:tc>
        <w:tc>
          <w:tcPr>
            <w:tcW w:w="913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sz w:val="22"/>
                <w:szCs w:val="22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84ADE" w:rsidRPr="0072364E" w:rsidTr="00D169E2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284ADE" w:rsidRPr="0072364E" w:rsidRDefault="00284ADE" w:rsidP="00D169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2.2</w:t>
            </w:r>
            <w:r w:rsidRPr="0072364E">
              <w:rPr>
                <w:sz w:val="22"/>
                <w:szCs w:val="22"/>
              </w:rPr>
              <w:t>. П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одписание заявителем двух  экземпляров проекта договора и направление в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   (или представляет в офис обслуживания потребителей) одного  экземпляра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с приложением к нему документов, подтверждающих полномочия лица, подписавшего такой договор (если они не были представлены ранее)</w:t>
            </w:r>
          </w:p>
        </w:tc>
        <w:tc>
          <w:tcPr>
            <w:tcW w:w="791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>10 рабочих дней со  дня получения заявителем проекта договора.</w:t>
            </w: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>В случае не направления  подписанного проекта договора  либо мотивированного отказа от его подписания в течени</w:t>
            </w:r>
            <w:proofErr w:type="gramStart"/>
            <w:r w:rsidRPr="0072364E">
              <w:rPr>
                <w:sz w:val="22"/>
                <w:szCs w:val="22"/>
              </w:rPr>
              <w:t>и</w:t>
            </w:r>
            <w:proofErr w:type="gramEnd"/>
            <w:r w:rsidRPr="0072364E">
              <w:rPr>
                <w:sz w:val="22"/>
                <w:szCs w:val="22"/>
              </w:rPr>
              <w:t xml:space="preserve"> 10 рабочих дней, через 30 рабочих дней   заявка аннулируется.</w:t>
            </w:r>
          </w:p>
        </w:tc>
        <w:tc>
          <w:tcPr>
            <w:tcW w:w="913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84ADE" w:rsidRPr="0072364E" w:rsidTr="00D169E2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284ADE" w:rsidRPr="0072364E" w:rsidRDefault="00284ADE" w:rsidP="00D169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 случае несогласия заявителя 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размещенными МУП «АЭС» документами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и (или) несоответствия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их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Правилам </w:t>
            </w: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lastRenderedPageBreak/>
              <w:t xml:space="preserve">2.3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Заявитель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течение 5 рабочих дней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направляет в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мотивированный отказ от подписания договора с предложением об изменении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документов</w:t>
            </w:r>
          </w:p>
        </w:tc>
        <w:tc>
          <w:tcPr>
            <w:tcW w:w="791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>Письменная форма мотивированного отказа /электронный вид, направленный в личном кабинете</w:t>
            </w: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10 рабочих дней со дня получения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2364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2364E">
              <w:rPr>
                <w:sz w:val="22"/>
                <w:szCs w:val="22"/>
              </w:rPr>
              <w:t>мотивирован-ного</w:t>
            </w:r>
            <w:proofErr w:type="spellEnd"/>
            <w:proofErr w:type="gramEnd"/>
            <w:r w:rsidRPr="0072364E">
              <w:rPr>
                <w:sz w:val="22"/>
                <w:szCs w:val="22"/>
              </w:rPr>
              <w:t xml:space="preserve"> отказа</w:t>
            </w: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913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ст. 445 Гражданского Кодекса РФ</w:t>
            </w:r>
          </w:p>
        </w:tc>
      </w:tr>
      <w:tr w:rsidR="00284ADE" w:rsidRPr="0072364E" w:rsidTr="00D169E2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284ADE" w:rsidRPr="0072364E" w:rsidRDefault="00284ADE" w:rsidP="00D169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Поступление в адрес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 от заявителя мотивированного отка</w:t>
            </w:r>
            <w:r>
              <w:rPr>
                <w:rFonts w:eastAsia="Calibri"/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992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2.4.</w:t>
            </w:r>
            <w:r w:rsidRPr="0072364E">
              <w:rPr>
                <w:sz w:val="22"/>
                <w:szCs w:val="22"/>
              </w:rPr>
              <w:t xml:space="preserve"> Направление в личном кабинете </w:t>
            </w:r>
            <w:r>
              <w:rPr>
                <w:sz w:val="22"/>
                <w:szCs w:val="22"/>
              </w:rPr>
              <w:t xml:space="preserve">на портале ТП РФ (или ином </w:t>
            </w:r>
            <w:proofErr w:type="gramStart"/>
            <w:r>
              <w:rPr>
                <w:sz w:val="22"/>
                <w:szCs w:val="22"/>
              </w:rPr>
              <w:t>портале</w:t>
            </w:r>
            <w:proofErr w:type="gramEnd"/>
            <w:r>
              <w:rPr>
                <w:sz w:val="22"/>
                <w:szCs w:val="22"/>
              </w:rPr>
              <w:t xml:space="preserve"> посредством которого была подана заявка на ТП) </w:t>
            </w:r>
            <w:r w:rsidRPr="007236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91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 электронной форме</w:t>
            </w: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 энергопринимающих устройств потребителей электрической энергии, ст. 445 Гражданского Кодекса РФ</w:t>
            </w:r>
          </w:p>
        </w:tc>
      </w:tr>
      <w:tr w:rsidR="00284ADE" w:rsidRPr="0072364E" w:rsidTr="00D169E2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284ADE" w:rsidRPr="0072364E" w:rsidRDefault="00284ADE" w:rsidP="00D169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:rsidR="00284ADE" w:rsidRPr="008F251D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F251D">
              <w:rPr>
                <w:b/>
                <w:bCs/>
                <w:sz w:val="22"/>
                <w:szCs w:val="22"/>
              </w:rPr>
              <w:t>2.5</w:t>
            </w:r>
            <w:r w:rsidRPr="008F251D">
              <w:rPr>
                <w:sz w:val="22"/>
                <w:szCs w:val="22"/>
              </w:rPr>
              <w:t>. </w:t>
            </w:r>
            <w:r w:rsidRPr="008F251D">
              <w:rPr>
                <w:rFonts w:eastAsia="Calibri"/>
                <w:sz w:val="22"/>
                <w:szCs w:val="22"/>
                <w:lang w:eastAsia="en-US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энергоснабжения, копию подписанного с заявителем договора и копии представленных заявителем документов.</w:t>
            </w:r>
          </w:p>
        </w:tc>
        <w:tc>
          <w:tcPr>
            <w:tcW w:w="791" w:type="pct"/>
            <w:shd w:val="clear" w:color="auto" w:fill="auto"/>
          </w:tcPr>
          <w:p w:rsidR="00284ADE" w:rsidRPr="008F251D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F251D">
              <w:rPr>
                <w:rFonts w:eastAsia="Calibri"/>
                <w:sz w:val="22"/>
                <w:szCs w:val="22"/>
                <w:lang w:eastAsia="en-US"/>
              </w:rPr>
              <w:t>В письменной или электронной форме</w:t>
            </w:r>
          </w:p>
          <w:p w:rsidR="00284ADE" w:rsidRPr="008F251D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284ADE" w:rsidRPr="008F251D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  <w:r w:rsidRPr="008F251D">
              <w:rPr>
                <w:sz w:val="22"/>
                <w:szCs w:val="22"/>
              </w:rPr>
              <w:t xml:space="preserve">не позднее 2 рабочих дней </w:t>
            </w:r>
            <w:proofErr w:type="gramStart"/>
            <w:r w:rsidRPr="008F251D">
              <w:rPr>
                <w:sz w:val="22"/>
                <w:szCs w:val="22"/>
              </w:rPr>
              <w:t>с даты заключения</w:t>
            </w:r>
            <w:proofErr w:type="gramEnd"/>
            <w:r w:rsidRPr="008F251D">
              <w:rPr>
                <w:sz w:val="22"/>
                <w:szCs w:val="22"/>
              </w:rPr>
              <w:t xml:space="preserve"> договора</w:t>
            </w:r>
          </w:p>
        </w:tc>
        <w:tc>
          <w:tcPr>
            <w:tcW w:w="913" w:type="pct"/>
            <w:shd w:val="clear" w:color="auto" w:fill="auto"/>
          </w:tcPr>
          <w:p w:rsidR="00284ADE" w:rsidRPr="008F251D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F251D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84ADE" w:rsidRPr="0072364E" w:rsidTr="00D169E2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284ADE" w:rsidRPr="0072364E" w:rsidRDefault="00284ADE" w:rsidP="00D169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A6AD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Выполнение сторонами мероприятий по технологическому присоединению, предусмотренных  техническими условиями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92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3.1</w:t>
            </w:r>
            <w:r w:rsidRPr="0072364E">
              <w:rPr>
                <w:sz w:val="22"/>
                <w:szCs w:val="22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1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13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 17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84ADE" w:rsidRPr="0072364E" w:rsidTr="00D169E2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284ADE" w:rsidRPr="0072364E" w:rsidRDefault="00284ADE" w:rsidP="00D169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3.2</w:t>
            </w:r>
            <w:r w:rsidRPr="0072364E">
              <w:rPr>
                <w:sz w:val="22"/>
                <w:szCs w:val="22"/>
              </w:rPr>
              <w:t>. 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Выполнение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мероприятий, предусмотренных 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техническими условиями</w:t>
            </w:r>
          </w:p>
        </w:tc>
        <w:tc>
          <w:tcPr>
            <w:tcW w:w="791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техническими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условиями </w:t>
            </w:r>
          </w:p>
        </w:tc>
        <w:tc>
          <w:tcPr>
            <w:tcW w:w="913" w:type="pct"/>
            <w:vMerge w:val="restar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Пункт 18 Правил технологического присоединения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  <w:tr w:rsidR="00284ADE" w:rsidRPr="0072364E" w:rsidTr="00D169E2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284ADE" w:rsidRPr="0072364E" w:rsidRDefault="00284ADE" w:rsidP="00D169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3.3</w:t>
            </w:r>
            <w:r w:rsidRPr="0072364E">
              <w:rPr>
                <w:sz w:val="22"/>
                <w:szCs w:val="22"/>
              </w:rPr>
              <w:t>. 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Выполнение заявителем мероприятий, предусмотренных  техническими условиями</w:t>
            </w:r>
          </w:p>
        </w:tc>
        <w:tc>
          <w:tcPr>
            <w:tcW w:w="791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техническими условиями </w:t>
            </w:r>
          </w:p>
        </w:tc>
        <w:tc>
          <w:tcPr>
            <w:tcW w:w="913" w:type="pct"/>
            <w:vMerge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sz w:val="22"/>
                <w:szCs w:val="22"/>
              </w:rPr>
            </w:pPr>
          </w:p>
        </w:tc>
      </w:tr>
      <w:tr w:rsidR="00284ADE" w:rsidRPr="0072364E" w:rsidTr="00D169E2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284ADE" w:rsidRPr="0072364E" w:rsidRDefault="00284ADE" w:rsidP="00D169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3.4</w:t>
            </w:r>
            <w:r w:rsidRPr="0072364E">
              <w:rPr>
                <w:sz w:val="22"/>
                <w:szCs w:val="22"/>
              </w:rPr>
              <w:t>.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Направление уведомления заявителем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о выполнении технических условий с необходимым пакетом документов</w:t>
            </w: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Письменное уведомление о выполнении технических условий с приложением необходимых документов </w:t>
            </w:r>
          </w:p>
        </w:tc>
        <w:tc>
          <w:tcPr>
            <w:tcW w:w="617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После выполнения технических условий</w:t>
            </w:r>
          </w:p>
        </w:tc>
        <w:tc>
          <w:tcPr>
            <w:tcW w:w="913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sz w:val="22"/>
                <w:szCs w:val="22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84ADE" w:rsidRPr="0072364E" w:rsidTr="00D169E2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284ADE" w:rsidRPr="007713F7" w:rsidRDefault="00284ADE" w:rsidP="00D169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2A6AD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45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 xml:space="preserve">Получение </w:t>
            </w:r>
            <w:r>
              <w:rPr>
                <w:sz w:val="22"/>
                <w:szCs w:val="22"/>
              </w:rPr>
              <w:t>МУП «АЭС»</w:t>
            </w:r>
            <w:r w:rsidRPr="0072364E">
              <w:rPr>
                <w:sz w:val="22"/>
                <w:szCs w:val="22"/>
              </w:rPr>
              <w:t xml:space="preserve"> от заявителя уведомления о выполнении технических условий</w:t>
            </w:r>
          </w:p>
        </w:tc>
        <w:tc>
          <w:tcPr>
            <w:tcW w:w="992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b/>
                <w:bCs/>
                <w:sz w:val="22"/>
                <w:szCs w:val="22"/>
              </w:rPr>
              <w:t>4.1.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осмотра.</w:t>
            </w: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1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>Акт допуска приборов учета в эксплуатацию (АДПУ)</w:t>
            </w: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12" w:history="1">
              <w:r w:rsidRPr="0072364E">
                <w:rPr>
                  <w:rFonts w:eastAsia="Calibri"/>
                  <w:sz w:val="22"/>
                  <w:szCs w:val="22"/>
                  <w:lang w:eastAsia="en-US"/>
                </w:rPr>
                <w:t>Акт</w:t>
              </w:r>
            </w:hyperlink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о выполнении технических условий</w:t>
            </w: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При наличии замечаний в ходе осмотра электроустановок, они указываются в перечне замечаний, выявленных в ходе проверки и подлежащих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выполнению. </w:t>
            </w:r>
          </w:p>
        </w:tc>
        <w:tc>
          <w:tcPr>
            <w:tcW w:w="617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В трехдневный срок</w:t>
            </w: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72364E">
              <w:rPr>
                <w:rFonts w:eastAsia="Calibri"/>
                <w:sz w:val="22"/>
                <w:szCs w:val="22"/>
                <w:lang w:val="en-US" w:eastAsia="en-US"/>
              </w:rPr>
              <w:t>IX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</w:t>
            </w:r>
          </w:p>
        </w:tc>
      </w:tr>
      <w:tr w:rsidR="00284ADE" w:rsidRPr="0072364E" w:rsidTr="00D169E2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284ADE" w:rsidRPr="0072364E" w:rsidRDefault="00284ADE" w:rsidP="00D169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 случае невыполнения заявителем требований технических условий. Получение от заявителя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уведомления об устранении замечаний по выполнению технических условий</w:t>
            </w:r>
          </w:p>
        </w:tc>
        <w:tc>
          <w:tcPr>
            <w:tcW w:w="992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>4.2.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Повторный осмотр электроустановки заявителя </w:t>
            </w:r>
          </w:p>
        </w:tc>
        <w:tc>
          <w:tcPr>
            <w:tcW w:w="791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>Акт допуска приборов учета в эксплуатацию</w:t>
            </w: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13" w:history="1">
              <w:r w:rsidRPr="0072364E">
                <w:rPr>
                  <w:rFonts w:eastAsia="Calibri"/>
                  <w:sz w:val="22"/>
                  <w:szCs w:val="22"/>
                  <w:lang w:eastAsia="en-US"/>
                </w:rPr>
                <w:t>Акт</w:t>
              </w:r>
            </w:hyperlink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о выполнении технических условий</w:t>
            </w: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При наличии замечаний в ходе осмотра электроустановок, они указываются в перечне замечаний, выявленных в ходе проверки и подлежащих выполнению. </w:t>
            </w:r>
          </w:p>
        </w:tc>
        <w:tc>
          <w:tcPr>
            <w:tcW w:w="617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Не позднее 3 рабочих дней после получения </w:t>
            </w:r>
            <w:proofErr w:type="gramStart"/>
            <w:r w:rsidRPr="0072364E">
              <w:rPr>
                <w:rFonts w:eastAsia="Calibri"/>
                <w:sz w:val="22"/>
                <w:szCs w:val="22"/>
                <w:lang w:eastAsia="en-US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 w:rsidRPr="0072364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13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72364E">
              <w:rPr>
                <w:rFonts w:eastAsia="Calibri"/>
                <w:sz w:val="22"/>
                <w:szCs w:val="22"/>
                <w:lang w:val="en-US" w:eastAsia="en-US"/>
              </w:rPr>
              <w:t>IX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</w:t>
            </w:r>
          </w:p>
        </w:tc>
      </w:tr>
      <w:tr w:rsidR="00284ADE" w:rsidRPr="0072364E" w:rsidTr="00D169E2">
        <w:trPr>
          <w:trHeight w:val="1946"/>
        </w:trPr>
        <w:tc>
          <w:tcPr>
            <w:tcW w:w="167" w:type="pct"/>
            <w:vMerge/>
            <w:shd w:val="clear" w:color="auto" w:fill="auto"/>
          </w:tcPr>
          <w:p w:rsidR="00284ADE" w:rsidRPr="0072364E" w:rsidRDefault="00284ADE" w:rsidP="00D169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Выполненные заявителем  мероприятия соответствуют техническим условиям</w:t>
            </w:r>
          </w:p>
        </w:tc>
        <w:tc>
          <w:tcPr>
            <w:tcW w:w="992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b/>
                <w:bCs/>
                <w:sz w:val="22"/>
                <w:szCs w:val="22"/>
              </w:rPr>
              <w:t>4.3.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Подготовка и выдача заявителю Акта о выполнении технических условий в 2 экземплярах </w:t>
            </w:r>
          </w:p>
        </w:tc>
        <w:tc>
          <w:tcPr>
            <w:tcW w:w="791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Акт о выполнении технических условий в письменной форме выдается заявителю (под роспись в получении)</w:t>
            </w:r>
          </w:p>
        </w:tc>
        <w:tc>
          <w:tcPr>
            <w:tcW w:w="617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 день проведения проверки </w:t>
            </w:r>
          </w:p>
        </w:tc>
        <w:tc>
          <w:tcPr>
            <w:tcW w:w="913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72364E">
              <w:rPr>
                <w:rFonts w:eastAsia="Calibri"/>
                <w:sz w:val="22"/>
                <w:szCs w:val="22"/>
                <w:lang w:val="en-US" w:eastAsia="en-US"/>
              </w:rPr>
              <w:t>IX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</w:t>
            </w:r>
          </w:p>
        </w:tc>
      </w:tr>
      <w:tr w:rsidR="00284ADE" w:rsidRPr="0072364E" w:rsidTr="00D169E2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284ADE" w:rsidRPr="0072364E" w:rsidRDefault="00284ADE" w:rsidP="00D169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  <w:vAlign w:val="center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2364E">
              <w:rPr>
                <w:sz w:val="22"/>
                <w:szCs w:val="22"/>
              </w:rPr>
              <w:t xml:space="preserve">Предоставление заявителю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акта о выполнении технических условий</w:t>
            </w:r>
            <w:r w:rsidRPr="0072364E">
              <w:rPr>
                <w:sz w:val="22"/>
                <w:szCs w:val="22"/>
              </w:rPr>
              <w:t xml:space="preserve"> для </w:t>
            </w:r>
            <w:r w:rsidRPr="0072364E">
              <w:rPr>
                <w:sz w:val="22"/>
                <w:szCs w:val="22"/>
              </w:rPr>
              <w:lastRenderedPageBreak/>
              <w:t xml:space="preserve">подписания </w:t>
            </w:r>
          </w:p>
        </w:tc>
        <w:tc>
          <w:tcPr>
            <w:tcW w:w="992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lastRenderedPageBreak/>
              <w:t xml:space="preserve">4.5.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Заявитель возвращает в сетевую организацию один экземпляр подписанного со своей стороны акта о выполнении технических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условий</w:t>
            </w:r>
          </w:p>
        </w:tc>
        <w:tc>
          <w:tcPr>
            <w:tcW w:w="791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Подписанный заявителем Акт о выполнении технических условий в письменной форме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в 1 экз.</w:t>
            </w:r>
          </w:p>
        </w:tc>
        <w:tc>
          <w:tcPr>
            <w:tcW w:w="617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 течение 5 дней со дня получения подписанного сетевой организацией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акта о выполнении технических условий</w:t>
            </w:r>
          </w:p>
        </w:tc>
        <w:tc>
          <w:tcPr>
            <w:tcW w:w="913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Пункт 88 Правил технологического присоединения энергопринимающих устройств потребителей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>электрической энергии</w:t>
            </w:r>
          </w:p>
        </w:tc>
      </w:tr>
      <w:tr w:rsidR="00284ADE" w:rsidRPr="0072364E" w:rsidTr="00D169E2">
        <w:trPr>
          <w:trHeight w:val="695"/>
        </w:trPr>
        <w:tc>
          <w:tcPr>
            <w:tcW w:w="167" w:type="pct"/>
            <w:shd w:val="clear" w:color="auto" w:fill="auto"/>
          </w:tcPr>
          <w:p w:rsidR="00284ADE" w:rsidRPr="0072364E" w:rsidRDefault="00284ADE" w:rsidP="00D169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A6AD6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775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Присоединение объектов заявителя к электрическим сетям</w:t>
            </w:r>
          </w:p>
        </w:tc>
        <w:tc>
          <w:tcPr>
            <w:tcW w:w="745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Подписанные сторонами акты о выполнении технических условий</w:t>
            </w:r>
          </w:p>
        </w:tc>
        <w:tc>
          <w:tcPr>
            <w:tcW w:w="992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2364E">
              <w:rPr>
                <w:b/>
                <w:bCs/>
                <w:sz w:val="22"/>
                <w:szCs w:val="22"/>
              </w:rPr>
              <w:t xml:space="preserve">5.1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Подготовка акта об осуществлении технологического присоединения</w:t>
            </w: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b/>
                <w:bCs/>
                <w:sz w:val="22"/>
                <w:szCs w:val="22"/>
              </w:rPr>
              <w:t>5.2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b/>
                <w:sz w:val="22"/>
                <w:szCs w:val="22"/>
                <w:lang w:eastAsia="en-US"/>
              </w:rPr>
              <w:t>5.3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Возврат акта об осуществлении технологического присоединения в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МУП «АЭС»</w:t>
            </w:r>
          </w:p>
        </w:tc>
        <w:tc>
          <w:tcPr>
            <w:tcW w:w="791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13" w:type="pct"/>
            <w:shd w:val="clear" w:color="auto" w:fill="auto"/>
          </w:tcPr>
          <w:p w:rsidR="00284ADE" w:rsidRPr="0072364E" w:rsidRDefault="00284ADE" w:rsidP="00D169E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 18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284ADE" w:rsidRPr="0072364E" w:rsidRDefault="00284ADE" w:rsidP="00284ADE">
      <w:pPr>
        <w:rPr>
          <w:sz w:val="22"/>
          <w:szCs w:val="22"/>
        </w:rPr>
      </w:pPr>
    </w:p>
    <w:p w:rsidR="00284ADE" w:rsidRPr="0072364E" w:rsidRDefault="00284ADE" w:rsidP="00284ADE">
      <w:pPr>
        <w:autoSpaceDE w:val="0"/>
        <w:autoSpaceDN w:val="0"/>
        <w:adjustRightInd w:val="0"/>
        <w:jc w:val="center"/>
        <w:outlineLvl w:val="0"/>
      </w:pPr>
      <w:r w:rsidRPr="0072364E">
        <w:t>Контактная информация для направления обращений</w:t>
      </w:r>
    </w:p>
    <w:p w:rsidR="00284ADE" w:rsidRPr="0072364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Pr="0072364E" w:rsidRDefault="00284ADE" w:rsidP="00284ADE">
      <w:pPr>
        <w:autoSpaceDE w:val="0"/>
        <w:autoSpaceDN w:val="0"/>
        <w:adjustRightInd w:val="0"/>
        <w:jc w:val="both"/>
        <w:outlineLvl w:val="0"/>
      </w:pPr>
      <w:r w:rsidRPr="0072364E">
        <w:t>За разъяснением порядка осуществления технологического присоединения, а также с жалобой на действия сетевой организации в сфере технологического присоединения Вы можете обратиться:</w:t>
      </w:r>
    </w:p>
    <w:p w:rsidR="00284ADE" w:rsidRPr="0072364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Pr="0072364E" w:rsidRDefault="00284ADE" w:rsidP="00284ADE">
      <w:pPr>
        <w:autoSpaceDE w:val="0"/>
        <w:autoSpaceDN w:val="0"/>
        <w:adjustRightInd w:val="0"/>
        <w:jc w:val="both"/>
        <w:outlineLvl w:val="0"/>
      </w:pPr>
      <w:r w:rsidRPr="0072364E">
        <w:t>1) в письменном виде почтовым отправлением в адрес компании:</w:t>
      </w:r>
      <w:r>
        <w:t>655017</w:t>
      </w:r>
      <w:r w:rsidRPr="0072364E">
        <w:t xml:space="preserve">, </w:t>
      </w:r>
      <w:r>
        <w:t>г. Абакан</w:t>
      </w:r>
      <w:r w:rsidRPr="0072364E">
        <w:t xml:space="preserve">, ул. </w:t>
      </w:r>
      <w:proofErr w:type="gramStart"/>
      <w:r>
        <w:t>Советская</w:t>
      </w:r>
      <w:proofErr w:type="gramEnd"/>
      <w:r w:rsidRPr="0072364E">
        <w:t xml:space="preserve">, </w:t>
      </w:r>
      <w:r>
        <w:t>25</w:t>
      </w:r>
      <w:r w:rsidRPr="0072364E">
        <w:t>;</w:t>
      </w:r>
    </w:p>
    <w:p w:rsidR="00284ADE" w:rsidRPr="0072364E" w:rsidRDefault="00284ADE" w:rsidP="00284ADE">
      <w:pPr>
        <w:autoSpaceDE w:val="0"/>
        <w:autoSpaceDN w:val="0"/>
        <w:adjustRightInd w:val="0"/>
        <w:jc w:val="both"/>
        <w:outlineLvl w:val="0"/>
      </w:pPr>
      <w:r w:rsidRPr="0072364E">
        <w:t>2) электронным письмом на адрес: </w:t>
      </w:r>
      <w:r>
        <w:rPr>
          <w:lang w:val="en-US"/>
        </w:rPr>
        <w:t>mail</w:t>
      </w:r>
      <w:hyperlink r:id="rId14" w:history="1">
        <w:r w:rsidRPr="0072364E">
          <w:rPr>
            <w:rStyle w:val="a7"/>
          </w:rPr>
          <w:t>@</w:t>
        </w:r>
        <w:proofErr w:type="spellStart"/>
        <w:r>
          <w:rPr>
            <w:rStyle w:val="a7"/>
            <w:lang w:val="en-US"/>
          </w:rPr>
          <w:t>mpaes</w:t>
        </w:r>
        <w:proofErr w:type="spellEnd"/>
        <w:r w:rsidRPr="0072364E">
          <w:rPr>
            <w:rStyle w:val="a7"/>
          </w:rPr>
          <w:t>.</w:t>
        </w:r>
        <w:proofErr w:type="spellStart"/>
        <w:r w:rsidRPr="0072364E">
          <w:rPr>
            <w:rStyle w:val="a7"/>
          </w:rPr>
          <w:t>ru</w:t>
        </w:r>
        <w:proofErr w:type="spellEnd"/>
      </w:hyperlink>
      <w:r w:rsidRPr="0072364E">
        <w:t xml:space="preserve"> </w:t>
      </w:r>
    </w:p>
    <w:p w:rsidR="00284ADE" w:rsidRPr="00E22A9C" w:rsidRDefault="00284ADE" w:rsidP="00284ADE">
      <w:pPr>
        <w:autoSpaceDE w:val="0"/>
        <w:autoSpaceDN w:val="0"/>
        <w:adjustRightInd w:val="0"/>
        <w:jc w:val="both"/>
        <w:outlineLvl w:val="0"/>
      </w:pPr>
      <w:r w:rsidRPr="0072364E">
        <w:lastRenderedPageBreak/>
        <w:t xml:space="preserve">3) в Центр обслуживания клиентов </w:t>
      </w:r>
      <w:r>
        <w:t>МУП «АЭС»</w:t>
      </w:r>
      <w:r w:rsidRPr="0072364E">
        <w:t xml:space="preserve"> по адресу </w:t>
      </w:r>
      <w:proofErr w:type="gramStart"/>
      <w:r w:rsidRPr="0072364E">
        <w:t>г</w:t>
      </w:r>
      <w:proofErr w:type="gramEnd"/>
      <w:r w:rsidRPr="0072364E">
        <w:t>.</w:t>
      </w:r>
      <w:r w:rsidRPr="00E22A9C">
        <w:t xml:space="preserve"> </w:t>
      </w:r>
      <w:r>
        <w:t>Абакан</w:t>
      </w:r>
      <w:r w:rsidRPr="0072364E">
        <w:t xml:space="preserve">, ул. </w:t>
      </w:r>
      <w:r>
        <w:t>Советская</w:t>
      </w:r>
      <w:r w:rsidRPr="0072364E">
        <w:t xml:space="preserve">, </w:t>
      </w:r>
      <w:r>
        <w:t>25</w:t>
      </w:r>
      <w:r w:rsidRPr="0072364E">
        <w:t>;</w:t>
      </w:r>
      <w:r w:rsidRPr="00E22A9C">
        <w:t xml:space="preserve"> </w:t>
      </w:r>
      <w:r>
        <w:t>Р</w:t>
      </w:r>
      <w:r w:rsidRPr="0072364E">
        <w:t xml:space="preserve">ежим работы: понедельник - </w:t>
      </w:r>
      <w:r>
        <w:t>пятница</w:t>
      </w:r>
      <w:r w:rsidRPr="0072364E">
        <w:t xml:space="preserve">, с </w:t>
      </w:r>
      <w:r>
        <w:t>8</w:t>
      </w:r>
      <w:r w:rsidRPr="0072364E">
        <w:t>:00 до 17:00.</w:t>
      </w:r>
    </w:p>
    <w:p w:rsidR="00284ADE" w:rsidRPr="004E3090" w:rsidRDefault="00284ADE" w:rsidP="00284ADE">
      <w:pPr>
        <w:autoSpaceDE w:val="0"/>
        <w:autoSpaceDN w:val="0"/>
        <w:adjustRightInd w:val="0"/>
        <w:jc w:val="both"/>
        <w:outlineLvl w:val="0"/>
      </w:pPr>
      <w:r w:rsidRPr="004E3090">
        <w:t>Уполномоченный орган исполнительной власти, осуществляющий надзорные функции за деятельностью сетевой организации:</w:t>
      </w:r>
    </w:p>
    <w:p w:rsidR="00284ADE" w:rsidRPr="00A85248" w:rsidRDefault="00284ADE" w:rsidP="00284ADE">
      <w:pPr>
        <w:autoSpaceDE w:val="0"/>
        <w:autoSpaceDN w:val="0"/>
        <w:adjustRightInd w:val="0"/>
        <w:jc w:val="both"/>
        <w:outlineLvl w:val="0"/>
      </w:pPr>
      <w:r w:rsidRPr="004E3090">
        <w:t xml:space="preserve">А) Управление </w:t>
      </w:r>
      <w:r w:rsidRPr="00A85248">
        <w:t xml:space="preserve">Федеральной антимонопольной службы по Республике Хакасия (655017, г. Абакан, ул. </w:t>
      </w:r>
      <w:proofErr w:type="spellStart"/>
      <w:r w:rsidRPr="00A85248">
        <w:t>Вяткина</w:t>
      </w:r>
      <w:proofErr w:type="spellEnd"/>
      <w:r w:rsidRPr="00A85248">
        <w:t xml:space="preserve">, д. 3) – </w:t>
      </w:r>
      <w:r w:rsidRPr="00A85248">
        <w:rPr>
          <w:lang w:val="en-US"/>
        </w:rPr>
        <w:t>to</w:t>
      </w:r>
      <w:r w:rsidRPr="00A85248">
        <w:t>19@</w:t>
      </w:r>
      <w:proofErr w:type="spellStart"/>
      <w:r w:rsidRPr="00A85248">
        <w:rPr>
          <w:lang w:val="en-US"/>
        </w:rPr>
        <w:t>fas</w:t>
      </w:r>
      <w:proofErr w:type="spellEnd"/>
      <w:r w:rsidRPr="00A85248">
        <w:t>.</w:t>
      </w:r>
      <w:proofErr w:type="spellStart"/>
      <w:r w:rsidRPr="00A85248">
        <w:rPr>
          <w:lang w:val="en-US"/>
        </w:rPr>
        <w:t>gov</w:t>
      </w:r>
      <w:proofErr w:type="spellEnd"/>
      <w:r w:rsidRPr="00A85248">
        <w:t>.</w:t>
      </w:r>
      <w:proofErr w:type="spellStart"/>
      <w:r w:rsidRPr="00A85248">
        <w:rPr>
          <w:lang w:val="en-US"/>
        </w:rPr>
        <w:t>ru</w:t>
      </w:r>
      <w:proofErr w:type="spellEnd"/>
      <w:r w:rsidRPr="00A85248">
        <w:t>, тел. +7 (3902) 22-27-59, факс + 7 (3902) 22-62-55.</w:t>
      </w:r>
    </w:p>
    <w:p w:rsidR="00284ADE" w:rsidRPr="00A85248" w:rsidRDefault="00284ADE" w:rsidP="00284ADE">
      <w:pPr>
        <w:autoSpaceDE w:val="0"/>
        <w:autoSpaceDN w:val="0"/>
        <w:adjustRightInd w:val="0"/>
        <w:jc w:val="both"/>
        <w:outlineLvl w:val="0"/>
        <w:rPr>
          <w:lang w:val="en-US"/>
        </w:rPr>
      </w:pPr>
      <w:r w:rsidRPr="00A85248">
        <w:t xml:space="preserve">Б) Государственный комитет энергетики и тарифного регулирования Республики Хакасия (655017, г. Абакан, ул. </w:t>
      </w:r>
      <w:proofErr w:type="spellStart"/>
      <w:r w:rsidRPr="00A85248">
        <w:t>Щетинкина</w:t>
      </w:r>
      <w:proofErr w:type="spellEnd"/>
      <w:r w:rsidRPr="00A85248">
        <w:t xml:space="preserve">, 18), </w:t>
      </w:r>
      <w:hyperlink r:id="rId15" w:history="1">
        <w:r w:rsidRPr="00A85248">
          <w:rPr>
            <w:rStyle w:val="a7"/>
            <w:lang w:val="en-US"/>
          </w:rPr>
          <w:t>rek</w:t>
        </w:r>
        <w:r w:rsidRPr="00A85248">
          <w:rPr>
            <w:rStyle w:val="a7"/>
          </w:rPr>
          <w:t>@</w:t>
        </w:r>
        <w:r w:rsidRPr="00A85248">
          <w:rPr>
            <w:rStyle w:val="a7"/>
            <w:lang w:val="en-US"/>
          </w:rPr>
          <w:t>r</w:t>
        </w:r>
        <w:r w:rsidRPr="00A85248">
          <w:rPr>
            <w:rStyle w:val="a7"/>
          </w:rPr>
          <w:t>-19.</w:t>
        </w:r>
        <w:r w:rsidRPr="00A85248">
          <w:rPr>
            <w:rStyle w:val="a7"/>
            <w:lang w:val="en-US"/>
          </w:rPr>
          <w:t>ru</w:t>
        </w:r>
      </w:hyperlink>
      <w:r w:rsidRPr="00A85248">
        <w:t>, тел. +7 (3902) 39- 91-09.</w:t>
      </w: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  <w:rPr>
          <w:lang w:val="en-US"/>
        </w:rPr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  <w:rPr>
          <w:lang w:val="en-US"/>
        </w:rPr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  <w:rPr>
          <w:lang w:val="en-US"/>
        </w:rPr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  <w:rPr>
          <w:lang w:val="en-US"/>
        </w:rPr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  <w:rPr>
          <w:lang w:val="en-US"/>
        </w:rPr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  <w:rPr>
          <w:lang w:val="en-US"/>
        </w:rPr>
      </w:pPr>
    </w:p>
    <w:p w:rsidR="00284ADE" w:rsidRDefault="00284ADE" w:rsidP="00284ADE">
      <w:pPr>
        <w:autoSpaceDE w:val="0"/>
        <w:autoSpaceDN w:val="0"/>
        <w:adjustRightInd w:val="0"/>
        <w:jc w:val="both"/>
        <w:outlineLvl w:val="0"/>
        <w:rPr>
          <w:lang w:val="en-US"/>
        </w:rPr>
      </w:pPr>
    </w:p>
    <w:p w:rsidR="0043421B" w:rsidRDefault="0043421B"/>
    <w:sectPr w:rsidR="0043421B" w:rsidSect="008F251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ADE" w:rsidRDefault="00284ADE" w:rsidP="00284ADE">
      <w:r>
        <w:separator/>
      </w:r>
    </w:p>
  </w:endnote>
  <w:endnote w:type="continuationSeparator" w:id="0">
    <w:p w:rsidR="00284ADE" w:rsidRDefault="00284ADE" w:rsidP="0028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ADE" w:rsidRDefault="00284ADE" w:rsidP="00284ADE">
      <w:r>
        <w:separator/>
      </w:r>
    </w:p>
  </w:footnote>
  <w:footnote w:type="continuationSeparator" w:id="0">
    <w:p w:rsidR="00284ADE" w:rsidRDefault="00284ADE" w:rsidP="00284ADE">
      <w:r>
        <w:continuationSeparator/>
      </w:r>
    </w:p>
  </w:footnote>
  <w:footnote w:id="1">
    <w:p w:rsidR="00284ADE" w:rsidRPr="00882E94" w:rsidRDefault="00284ADE" w:rsidP="00284ADE">
      <w:pPr>
        <w:pStyle w:val="a3"/>
      </w:pPr>
      <w:r w:rsidRPr="00882E94">
        <w:rPr>
          <w:rStyle w:val="a5"/>
        </w:rPr>
        <w:footnoteRef/>
      </w:r>
      <w:r w:rsidRPr="00882E94">
        <w:t xml:space="preserve"> </w:t>
      </w:r>
      <w:r w:rsidRPr="00882E94">
        <w:rPr>
          <w:rFonts w:ascii="Times New Roman" w:hAnsi="Times New Roman"/>
        </w:rPr>
        <w:t xml:space="preserve"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882E94">
        <w:rPr>
          <w:rFonts w:ascii="Times New Roman" w:hAnsi="Times New Roman"/>
        </w:rPr>
        <w:t>электросетевого</w:t>
      </w:r>
      <w:proofErr w:type="spellEnd"/>
      <w:r w:rsidRPr="00882E94">
        <w:rPr>
          <w:rFonts w:ascii="Times New Roman" w:hAnsi="Times New Roman"/>
        </w:rPr>
        <w:t xml:space="preserve">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629F"/>
    <w:multiLevelType w:val="multilevel"/>
    <w:tmpl w:val="E3C24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ADE"/>
    <w:rsid w:val="00284ADE"/>
    <w:rsid w:val="0043421B"/>
    <w:rsid w:val="0066178B"/>
    <w:rsid w:val="00AE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AD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A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unhideWhenUsed/>
    <w:rsid w:val="00284ADE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284AD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284ADE"/>
    <w:rPr>
      <w:vertAlign w:val="superscript"/>
    </w:rPr>
  </w:style>
  <w:style w:type="paragraph" w:styleId="a6">
    <w:name w:val="List Paragraph"/>
    <w:basedOn w:val="a"/>
    <w:uiPriority w:val="34"/>
    <w:qFormat/>
    <w:rsid w:val="00284A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84ADE"/>
    <w:rPr>
      <w:color w:val="0000FF"/>
      <w:u w:val="single"/>
    </w:rPr>
  </w:style>
  <w:style w:type="paragraph" w:customStyle="1" w:styleId="s1">
    <w:name w:val="s_1"/>
    <w:basedOn w:val="a"/>
    <w:rsid w:val="00284A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0E111A5B5095EE125EE200E513B9061071F5540C5EC9F281248AB5EA8A5A20B361012ADB18yCw4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k@r-19.ru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mailto:eesk@rosseti-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2550</Words>
  <Characters>14538</Characters>
  <Application>Microsoft Office Word</Application>
  <DocSecurity>0</DocSecurity>
  <Lines>121</Lines>
  <Paragraphs>34</Paragraphs>
  <ScaleCrop>false</ScaleCrop>
  <Company/>
  <LinksUpToDate>false</LinksUpToDate>
  <CharactersWithSpaces>17054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tusl1</dc:creator>
  <cp:lastModifiedBy>tusl1</cp:lastModifiedBy>
  <cp:revision>2</cp:revision>
  <dcterms:created xsi:type="dcterms:W3CDTF">2022-09-02T04:42:00Z</dcterms:created>
  <dcterms:modified xsi:type="dcterms:W3CDTF">2022-09-02T04:42:00Z</dcterms:modified>
</cp:coreProperties>
</file>